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76DA96A5"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65757A">
        <w:rPr>
          <w:rFonts w:ascii="Arial" w:hAnsi="Arial" w:cs="Arial"/>
          <w:b/>
          <w:bCs/>
          <w:lang w:val="pt-BR"/>
        </w:rPr>
        <w:t>6</w:t>
      </w:r>
      <w:r w:rsidR="004112D4">
        <w:rPr>
          <w:rFonts w:ascii="Arial" w:hAnsi="Arial" w:cs="Arial"/>
          <w:b/>
          <w:bCs/>
          <w:lang w:val="pt-BR"/>
        </w:rPr>
        <w:t>bis</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4112D4">
        <w:rPr>
          <w:rFonts w:ascii="Arial" w:hAnsi="Arial" w:cs="Arial"/>
          <w:b/>
          <w:bCs/>
          <w:lang w:val="pt-BR"/>
        </w:rPr>
        <w:t>2</w:t>
      </w:r>
      <w:r w:rsidR="00370FE4">
        <w:rPr>
          <w:rFonts w:ascii="Arial" w:hAnsi="Arial" w:cs="Arial"/>
          <w:b/>
          <w:bCs/>
          <w:lang w:val="pt-BR"/>
        </w:rPr>
        <w:t>01179</w:t>
      </w:r>
    </w:p>
    <w:p w14:paraId="78D1E51D" w14:textId="4BE96B75"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4112D4">
        <w:rPr>
          <w:rFonts w:ascii="Arial" w:eastAsia="MS Mincho" w:hAnsi="Arial" w:cs="Arial"/>
          <w:b/>
          <w:bCs/>
          <w:lang w:eastAsia="ja-JP"/>
        </w:rPr>
        <w:t>January</w:t>
      </w:r>
      <w:r w:rsidR="0065757A" w:rsidRPr="00435F1E">
        <w:rPr>
          <w:rFonts w:ascii="Arial" w:eastAsia="MS Mincho" w:hAnsi="Arial" w:cs="Arial"/>
          <w:b/>
          <w:bCs/>
          <w:lang w:eastAsia="ja-JP"/>
        </w:rPr>
        <w:t xml:space="preserve"> </w:t>
      </w:r>
      <w:r w:rsidR="0065757A">
        <w:rPr>
          <w:rFonts w:ascii="Arial" w:eastAsia="MS Mincho" w:hAnsi="Arial" w:cs="Arial"/>
          <w:b/>
          <w:bCs/>
          <w:lang w:eastAsia="ja-JP"/>
        </w:rPr>
        <w:t>1</w:t>
      </w:r>
      <w:r w:rsidR="004112D4">
        <w:rPr>
          <w:rFonts w:ascii="Arial" w:eastAsia="MS Mincho" w:hAnsi="Arial" w:cs="Arial"/>
          <w:b/>
          <w:bCs/>
          <w:lang w:eastAsia="ja-JP"/>
        </w:rPr>
        <w:t>7</w:t>
      </w:r>
      <w:r w:rsidR="0065757A">
        <w:rPr>
          <w:rFonts w:ascii="Arial" w:eastAsia="MS Mincho" w:hAnsi="Arial" w:cs="Arial"/>
          <w:b/>
          <w:bCs/>
          <w:lang w:eastAsia="ja-JP"/>
        </w:rPr>
        <w:t>-</w:t>
      </w:r>
      <w:r w:rsidR="004112D4">
        <w:rPr>
          <w:rFonts w:ascii="Arial" w:eastAsia="MS Mincho" w:hAnsi="Arial" w:cs="Arial"/>
          <w:b/>
          <w:bCs/>
          <w:lang w:eastAsia="ja-JP"/>
        </w:rPr>
        <w:t>25</w:t>
      </w:r>
      <w:r w:rsidR="0052364D" w:rsidRPr="00435F1E">
        <w:rPr>
          <w:rFonts w:ascii="Arial" w:eastAsia="MS Mincho" w:hAnsi="Arial" w:cs="Arial"/>
          <w:b/>
          <w:bCs/>
          <w:lang w:eastAsia="ja-JP"/>
        </w:rPr>
        <w:t>, 20</w:t>
      </w:r>
      <w:r w:rsidR="0052364D">
        <w:rPr>
          <w:rFonts w:ascii="Arial" w:eastAsia="MS Mincho" w:hAnsi="Arial" w:cs="Arial"/>
          <w:b/>
          <w:bCs/>
          <w:lang w:eastAsia="ja-JP"/>
        </w:rPr>
        <w:t>2</w:t>
      </w:r>
      <w:r w:rsidR="004112D4">
        <w:rPr>
          <w:rFonts w:ascii="Arial" w:eastAsia="MS Mincho" w:hAnsi="Arial" w:cs="Arial"/>
          <w:b/>
          <w:bCs/>
          <w:lang w:eastAsia="ja-JP"/>
        </w:rPr>
        <w:t>2</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6BBCF2B4" w:rsidR="00E90E49" w:rsidRPr="00764EBC" w:rsidRDefault="00E90E49" w:rsidP="005E56C2">
      <w:pPr>
        <w:pStyle w:val="3GPPHeader"/>
        <w:jc w:val="both"/>
      </w:pPr>
      <w:r w:rsidRPr="00764EBC">
        <w:t>Agenda Item:</w:t>
      </w:r>
      <w:r w:rsidRPr="00764EBC">
        <w:tab/>
      </w:r>
      <w:r w:rsidR="009A3E68">
        <w:t>8.</w:t>
      </w:r>
      <w:r w:rsidR="004112D4">
        <w:t>10.3.</w:t>
      </w:r>
      <w:r w:rsidR="00940086">
        <w:t>2</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50C5193F" w:rsidR="00531215" w:rsidRPr="00764EBC" w:rsidRDefault="003D3C45" w:rsidP="008674CA">
      <w:pPr>
        <w:pStyle w:val="3GPPHeader"/>
        <w:jc w:val="both"/>
      </w:pPr>
      <w:r w:rsidRPr="00764EBC">
        <w:t>Title:</w:t>
      </w:r>
      <w:r w:rsidR="00E90E49" w:rsidRPr="00764EBC">
        <w:tab/>
      </w:r>
      <w:r w:rsidR="00940086">
        <w:t>NTN-TN idle mode mobility</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0B6AAA00" w14:textId="1711DDCB" w:rsidR="00FE780A" w:rsidRPr="00FE780A" w:rsidRDefault="00D0746A" w:rsidP="00FE780A">
      <w:pPr>
        <w:pStyle w:val="Comments"/>
        <w:jc w:val="both"/>
        <w:rPr>
          <w:rFonts w:ascii="Times New Roman" w:hAnsi="Times New Roman"/>
          <w:i w:val="0"/>
          <w:iCs/>
          <w:sz w:val="24"/>
        </w:rPr>
      </w:pPr>
      <w:r>
        <w:rPr>
          <w:rFonts w:ascii="Times New Roman" w:hAnsi="Times New Roman"/>
          <w:i w:val="0"/>
          <w:iCs/>
          <w:sz w:val="24"/>
        </w:rPr>
        <w:t>In previous meetings, RAN2 has agreed that legacy (Release 16) NR cell selection/resel</w:t>
      </w:r>
      <w:r w:rsidR="00E31115">
        <w:rPr>
          <w:rFonts w:ascii="Times New Roman" w:hAnsi="Times New Roman"/>
          <w:i w:val="0"/>
          <w:iCs/>
          <w:sz w:val="24"/>
        </w:rPr>
        <w:t>e</w:t>
      </w:r>
      <w:r>
        <w:rPr>
          <w:rFonts w:ascii="Times New Roman" w:hAnsi="Times New Roman"/>
          <w:i w:val="0"/>
          <w:iCs/>
          <w:sz w:val="24"/>
        </w:rPr>
        <w:t xml:space="preserve">ction is baseline for NTN. More specifically, the existing cell reselection priority configuration can be taken as baseline for NTN. In </w:t>
      </w:r>
      <w:r w:rsidR="00EA1AA5">
        <w:rPr>
          <w:rFonts w:ascii="Times New Roman" w:hAnsi="Times New Roman"/>
          <w:i w:val="0"/>
          <w:iCs/>
          <w:sz w:val="24"/>
        </w:rPr>
        <w:t>the light of these agreement</w:t>
      </w:r>
      <w:r>
        <w:rPr>
          <w:rFonts w:ascii="Times New Roman" w:hAnsi="Times New Roman"/>
          <w:i w:val="0"/>
          <w:iCs/>
          <w:sz w:val="24"/>
        </w:rPr>
        <w:t xml:space="preserve">, </w:t>
      </w:r>
      <w:r w:rsidR="00EA1AA5">
        <w:rPr>
          <w:rFonts w:ascii="Times New Roman" w:hAnsi="Times New Roman"/>
          <w:i w:val="0"/>
          <w:iCs/>
          <w:sz w:val="24"/>
        </w:rPr>
        <w:t xml:space="preserve">in this document, </w:t>
      </w:r>
      <w:r>
        <w:rPr>
          <w:rFonts w:ascii="Times New Roman" w:hAnsi="Times New Roman"/>
          <w:i w:val="0"/>
          <w:iCs/>
          <w:sz w:val="24"/>
        </w:rPr>
        <w:t>we provide our views on NTN-TN mobility in idle mode</w:t>
      </w:r>
      <w:r w:rsidR="00EA1AA5">
        <w:rPr>
          <w:rFonts w:ascii="Times New Roman" w:hAnsi="Times New Roman"/>
          <w:i w:val="0"/>
          <w:iCs/>
          <w:sz w:val="24"/>
        </w:rPr>
        <w:t>.</w:t>
      </w:r>
    </w:p>
    <w:p w14:paraId="0992D43A" w14:textId="2D193374" w:rsidR="00614C18" w:rsidRDefault="00EA5A5B" w:rsidP="005E56C2">
      <w:pPr>
        <w:pStyle w:val="Heading1"/>
        <w:jc w:val="both"/>
      </w:pPr>
      <w:r>
        <w:t>Discussion</w:t>
      </w:r>
    </w:p>
    <w:p w14:paraId="5F6EF7C0" w14:textId="36B6E741" w:rsidR="0054575D" w:rsidRDefault="00EA1AA5" w:rsidP="0054575D">
      <w:r>
        <w:t>Our understanding is that NTN deployments will be such that NTN and TN carriers are distinct. Thus, we should be able to extend legacy cell reselection principles, especially cell reselection priority configuration, to the NTN-TN case as well.</w:t>
      </w:r>
    </w:p>
    <w:p w14:paraId="21D280CE" w14:textId="23A430A9" w:rsidR="00EA1AA5" w:rsidRDefault="00EA1AA5" w:rsidP="0054575D"/>
    <w:p w14:paraId="6CEB845B" w14:textId="762ACE4B" w:rsidR="00EA1AA5" w:rsidRPr="00EA1AA5" w:rsidRDefault="00EA1AA5" w:rsidP="0054575D">
      <w:pPr>
        <w:rPr>
          <w:b/>
          <w:bCs/>
        </w:rPr>
      </w:pPr>
      <w:r w:rsidRPr="00EA1AA5">
        <w:rPr>
          <w:b/>
          <w:bCs/>
        </w:rPr>
        <w:t>Proposal 1: Assuming TN and NTN carriers are distinct, legacy cell selection/reselection principles, including cell reselection priority configuration, is baseline for NTN-TN idle mode mobility.</w:t>
      </w:r>
    </w:p>
    <w:p w14:paraId="55443D49" w14:textId="633914A5" w:rsidR="00C555CC" w:rsidRDefault="00C555CC" w:rsidP="0054575D"/>
    <w:p w14:paraId="1FD9F275" w14:textId="486A8EAB" w:rsidR="00EA1AA5" w:rsidRDefault="00EA1AA5" w:rsidP="0054575D">
      <w:r>
        <w:t xml:space="preserve">The network broadcasts SIB4 </w:t>
      </w:r>
      <w:r w:rsidR="00351164">
        <w:t xml:space="preserve">to manage inter-frequency cell reselection. </w:t>
      </w:r>
      <w:r w:rsidR="00257D4C">
        <w:t>In the case of NTN-TN mobility, the neighboring cells of an NTN cell would include TN cells that have some overlapping coverage with the NTN cell as shown below in Fig</w:t>
      </w:r>
      <w:r w:rsidR="00D164DB">
        <w:t>.</w:t>
      </w:r>
      <w:r w:rsidR="00257D4C">
        <w:t xml:space="preserve"> 1.</w:t>
      </w:r>
    </w:p>
    <w:p w14:paraId="37B45B91" w14:textId="77777777" w:rsidR="00257D4C" w:rsidRDefault="00257D4C" w:rsidP="0054575D"/>
    <w:p w14:paraId="245DB9B2" w14:textId="28EC959A" w:rsidR="00257D4C" w:rsidRDefault="00E50D90" w:rsidP="00257D4C">
      <w:pPr>
        <w:keepNext/>
      </w:pPr>
      <w:r w:rsidRPr="00E50D90">
        <w:rPr>
          <w:noProof/>
        </w:rPr>
        <w:drawing>
          <wp:inline distT="0" distB="0" distL="0" distR="0" wp14:anchorId="484617A4" wp14:editId="53316495">
            <wp:extent cx="6120765" cy="3008630"/>
            <wp:effectExtent l="0" t="0" r="63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a:stretch>
                      <a:fillRect/>
                    </a:stretch>
                  </pic:blipFill>
                  <pic:spPr>
                    <a:xfrm>
                      <a:off x="0" y="0"/>
                      <a:ext cx="6120765" cy="3008630"/>
                    </a:xfrm>
                    <a:prstGeom prst="rect">
                      <a:avLst/>
                    </a:prstGeom>
                  </pic:spPr>
                </pic:pic>
              </a:graphicData>
            </a:graphic>
          </wp:inline>
        </w:drawing>
      </w:r>
    </w:p>
    <w:p w14:paraId="4A3A61ED" w14:textId="1733F6E3" w:rsidR="00257D4C" w:rsidRDefault="00257D4C" w:rsidP="00257D4C">
      <w:pPr>
        <w:pStyle w:val="Caption"/>
      </w:pPr>
      <w:r>
        <w:t xml:space="preserve">Figure </w:t>
      </w:r>
      <w:r w:rsidR="008965DC">
        <w:fldChar w:fldCharType="begin"/>
      </w:r>
      <w:r w:rsidR="008965DC">
        <w:instrText xml:space="preserve"> SEQ Figure \* ARABIC </w:instrText>
      </w:r>
      <w:r w:rsidR="008965DC">
        <w:fldChar w:fldCharType="separate"/>
      </w:r>
      <w:r>
        <w:rPr>
          <w:noProof/>
        </w:rPr>
        <w:t>1</w:t>
      </w:r>
      <w:r w:rsidR="008965DC">
        <w:rPr>
          <w:noProof/>
        </w:rPr>
        <w:fldChar w:fldCharType="end"/>
      </w:r>
      <w:r>
        <w:t xml:space="preserve">: </w:t>
      </w:r>
      <w:r w:rsidR="00E50D90">
        <w:t xml:space="preserve">An example </w:t>
      </w:r>
      <w:r>
        <w:t>NTN-TN deployment</w:t>
      </w:r>
    </w:p>
    <w:p w14:paraId="3F930FF2" w14:textId="3A1E2888" w:rsidR="00E50D90" w:rsidRDefault="00E50D90" w:rsidP="00E50D90">
      <w:r>
        <w:lastRenderedPageBreak/>
        <w:t xml:space="preserve">An NTN cell may cover a large area. For example, the reference beam footprint size for GEO and LEO satellites </w:t>
      </w:r>
      <w:r w:rsidR="00D164DB">
        <w:t xml:space="preserve">was taken to be 3500 km and 1000 km, respectively in TR 38.321. In such a scenario, the TN </w:t>
      </w:r>
      <w:r w:rsidR="00A419B1">
        <w:t>neighbor</w:t>
      </w:r>
      <w:r w:rsidR="00D164DB">
        <w:t xml:space="preserve"> cells of an NTN cell are spread over a large area and unlikely to be adjacent to each other. Referring to Fig.1 above, a UE in the coverage of TN cell #1 is not going to be able to detect TN cell #2. From a UE power consumption point of view, it is inefficient for a UE to search for all the neighboring frequencies and cells of the NTN cell.</w:t>
      </w:r>
    </w:p>
    <w:p w14:paraId="115A4E06" w14:textId="507001F0" w:rsidR="00D164DB" w:rsidRDefault="00D164DB" w:rsidP="00E50D90"/>
    <w:p w14:paraId="74073225" w14:textId="286BF87B" w:rsidR="00D164DB" w:rsidRPr="00D417D4" w:rsidRDefault="00D164DB" w:rsidP="00E50D90">
      <w:pPr>
        <w:rPr>
          <w:b/>
          <w:bCs/>
        </w:rPr>
      </w:pPr>
      <w:r w:rsidRPr="00D417D4">
        <w:rPr>
          <w:b/>
          <w:bCs/>
        </w:rPr>
        <w:t>Observation 1: Legacy cell reselection procedures will end up wasting UE power in searching for</w:t>
      </w:r>
      <w:r w:rsidR="00802682">
        <w:rPr>
          <w:b/>
          <w:bCs/>
        </w:rPr>
        <w:t xml:space="preserve"> TN </w:t>
      </w:r>
      <w:r w:rsidRPr="00D417D4">
        <w:rPr>
          <w:b/>
          <w:bCs/>
        </w:rPr>
        <w:t>frequencies and/or cells that it is not likely to find.</w:t>
      </w:r>
    </w:p>
    <w:p w14:paraId="01D2B8A1" w14:textId="0C019809" w:rsidR="00D164DB" w:rsidRDefault="00D164DB" w:rsidP="00E50D90"/>
    <w:p w14:paraId="56E21829" w14:textId="35068359" w:rsidR="00D417D4" w:rsidRDefault="00D164DB" w:rsidP="00D417D4">
      <w:r>
        <w:t xml:space="preserve">A straightforward solution to this problem is to exploit the fact that NTN UEs are assumed to equipped with GNSS capability. If the </w:t>
      </w:r>
      <w:r w:rsidR="00D417D4" w:rsidRPr="00D417D4">
        <w:t xml:space="preserve">network indicates location specific cell reselection information to the UE, </w:t>
      </w:r>
      <w:r w:rsidR="00D417D4">
        <w:t>t</w:t>
      </w:r>
      <w:r w:rsidR="00D417D4" w:rsidRPr="00D417D4">
        <w:t>he UE can avoid unnecessary search</w:t>
      </w:r>
      <w:r w:rsidR="00D417D4">
        <w:t xml:space="preserve">, and </w:t>
      </w:r>
      <w:r w:rsidR="00D417D4" w:rsidRPr="00D417D4">
        <w:t>only look for frequencies and cells it is likely to find</w:t>
      </w:r>
      <w:r w:rsidR="00D417D4">
        <w:t xml:space="preserve">. </w:t>
      </w:r>
    </w:p>
    <w:p w14:paraId="55E9C18D" w14:textId="03B31E5C" w:rsidR="00D417D4" w:rsidRDefault="00D417D4" w:rsidP="00D417D4"/>
    <w:p w14:paraId="5494ED91" w14:textId="6500D2BF" w:rsidR="00D417D4" w:rsidRDefault="00D417D4" w:rsidP="00D417D4">
      <w:r>
        <w:t xml:space="preserve">The network can provide </w:t>
      </w:r>
      <w:r w:rsidR="00802682">
        <w:t>geographic tags associated with</w:t>
      </w:r>
      <w:r>
        <w:t xml:space="preserve"> cell reselection information, w</w:t>
      </w:r>
      <w:r w:rsidR="00802682">
        <w:t xml:space="preserve">here </w:t>
      </w:r>
      <w:r>
        <w:t xml:space="preserve">each </w:t>
      </w:r>
      <w:r w:rsidR="00802682">
        <w:t xml:space="preserve">tag provides </w:t>
      </w:r>
      <w:r>
        <w:t>a reference location (on the ground). The UE determines which geographic tag is closest to its location, by comparing the reference location with the UE’s GNSS determined location. The UE then uses the corresponding cell reselection information associated with the selected geographic tag. This approach has the potential to significantly reduce the UE power consumption burden in NTN-TN idle mode mobility since the UE only looks for those cells and frequencies that are likely to be found.</w:t>
      </w:r>
    </w:p>
    <w:p w14:paraId="460A86A1" w14:textId="1CDB95BF" w:rsidR="00D417D4" w:rsidRDefault="00D417D4" w:rsidP="00D417D4"/>
    <w:p w14:paraId="28BB9332" w14:textId="57123EB3" w:rsidR="00257D4C" w:rsidRPr="00ED58CD" w:rsidRDefault="00D417D4" w:rsidP="00257D4C">
      <w:pPr>
        <w:rPr>
          <w:b/>
          <w:bCs/>
        </w:rPr>
      </w:pPr>
      <w:r w:rsidRPr="00ED58CD">
        <w:rPr>
          <w:b/>
          <w:bCs/>
        </w:rPr>
        <w:t xml:space="preserve">Proposal </w:t>
      </w:r>
      <w:r w:rsidR="00ED58CD" w:rsidRPr="00ED58CD">
        <w:rPr>
          <w:b/>
          <w:bCs/>
        </w:rPr>
        <w:t>2</w:t>
      </w:r>
      <w:r w:rsidRPr="00ED58CD">
        <w:rPr>
          <w:b/>
          <w:bCs/>
        </w:rPr>
        <w:t xml:space="preserve">: SIB4 be enhanced by geographic tags, with each tag corresponding to </w:t>
      </w:r>
      <w:r w:rsidR="00ED58CD" w:rsidRPr="00ED58CD">
        <w:rPr>
          <w:b/>
          <w:bCs/>
        </w:rPr>
        <w:t>a set of (leg</w:t>
      </w:r>
      <w:r w:rsidR="00ED58CD">
        <w:rPr>
          <w:b/>
          <w:bCs/>
        </w:rPr>
        <w:t>a</w:t>
      </w:r>
      <w:r w:rsidR="00ED58CD" w:rsidRPr="00ED58CD">
        <w:rPr>
          <w:b/>
          <w:bCs/>
        </w:rPr>
        <w:t>cy) cell reselection information.</w:t>
      </w:r>
    </w:p>
    <w:p w14:paraId="2896E657" w14:textId="4656D4A6" w:rsidR="00854A60" w:rsidRPr="00A6576F" w:rsidRDefault="009C5A97" w:rsidP="005E56C2">
      <w:pPr>
        <w:pStyle w:val="Heading1"/>
        <w:jc w:val="both"/>
      </w:pPr>
      <w:r w:rsidRPr="00A6576F">
        <w:t>Conclusion</w:t>
      </w:r>
      <w:r w:rsidR="00F54B69">
        <w:t>s</w:t>
      </w:r>
    </w:p>
    <w:p w14:paraId="556F59BC" w14:textId="43C426D3" w:rsidR="004B2863" w:rsidRDefault="00F54B69" w:rsidP="00FE2261">
      <w:pPr>
        <w:jc w:val="both"/>
        <w:rPr>
          <w:iCs/>
        </w:rPr>
      </w:pPr>
      <w:r>
        <w:rPr>
          <w:iCs/>
        </w:rPr>
        <w:t xml:space="preserve">In this document, we provide our views on </w:t>
      </w:r>
      <w:r w:rsidR="00ED58CD">
        <w:rPr>
          <w:iCs/>
        </w:rPr>
        <w:t>NTN-TN idle mode mobility</w:t>
      </w:r>
      <w:r w:rsidR="00C555CC">
        <w:rPr>
          <w:iCs/>
        </w:rPr>
        <w:t xml:space="preserve">. </w:t>
      </w:r>
      <w:r w:rsidR="003C06C1">
        <w:rPr>
          <w:iCs/>
        </w:rPr>
        <w:t xml:space="preserve">Our </w:t>
      </w:r>
      <w:r w:rsidR="00C555CC">
        <w:rPr>
          <w:iCs/>
        </w:rPr>
        <w:t xml:space="preserve">observations and </w:t>
      </w:r>
      <w:r w:rsidR="003C06C1">
        <w:rPr>
          <w:iCs/>
        </w:rPr>
        <w:t>proposa</w:t>
      </w:r>
      <w:r w:rsidR="00C555CC">
        <w:rPr>
          <w:iCs/>
        </w:rPr>
        <w:t>ls are</w:t>
      </w:r>
      <w:r w:rsidR="003C06C1">
        <w:rPr>
          <w:iCs/>
        </w:rPr>
        <w:t xml:space="preserve"> summarized below.</w:t>
      </w:r>
    </w:p>
    <w:p w14:paraId="0A324670" w14:textId="77777777" w:rsidR="00F35433" w:rsidRPr="00F54B69" w:rsidRDefault="00F35433" w:rsidP="00FE2261">
      <w:pPr>
        <w:jc w:val="both"/>
        <w:rPr>
          <w:iCs/>
        </w:rPr>
      </w:pPr>
    </w:p>
    <w:p w14:paraId="09062935" w14:textId="77777777" w:rsidR="00ED58CD" w:rsidRPr="00EA1AA5" w:rsidRDefault="00ED58CD" w:rsidP="00ED58CD">
      <w:pPr>
        <w:rPr>
          <w:b/>
          <w:bCs/>
        </w:rPr>
      </w:pPr>
      <w:r w:rsidRPr="00EA1AA5">
        <w:rPr>
          <w:b/>
          <w:bCs/>
        </w:rPr>
        <w:t>Proposal 1: Assuming TN and NTN carriers are distinct, legacy cell selection/reselection principles, including cell reselection priority configuration, is baseline for NTN-TN idle mode mobility.</w:t>
      </w:r>
    </w:p>
    <w:p w14:paraId="38A3390F" w14:textId="77777777" w:rsidR="00ED58CD" w:rsidRDefault="00ED58CD" w:rsidP="00ED58CD">
      <w:pPr>
        <w:rPr>
          <w:b/>
          <w:bCs/>
        </w:rPr>
      </w:pPr>
    </w:p>
    <w:p w14:paraId="516DDB38" w14:textId="0A5FBE5F" w:rsidR="00ED58CD" w:rsidRPr="00D417D4" w:rsidRDefault="00ED58CD" w:rsidP="00ED58CD">
      <w:pPr>
        <w:rPr>
          <w:b/>
          <w:bCs/>
        </w:rPr>
      </w:pPr>
      <w:r w:rsidRPr="00D417D4">
        <w:rPr>
          <w:b/>
          <w:bCs/>
        </w:rPr>
        <w:t xml:space="preserve">Observation 1: Legacy cell reselection procedures will end up wasting UE power in searching for </w:t>
      </w:r>
      <w:r w:rsidR="00802682">
        <w:rPr>
          <w:b/>
          <w:bCs/>
        </w:rPr>
        <w:t xml:space="preserve">TN </w:t>
      </w:r>
      <w:r w:rsidRPr="00D417D4">
        <w:rPr>
          <w:b/>
          <w:bCs/>
        </w:rPr>
        <w:t>frequencies and/or cells that it is not likely to find.</w:t>
      </w:r>
    </w:p>
    <w:p w14:paraId="2BD25EBC" w14:textId="08EB26A6" w:rsidR="004B2863" w:rsidRDefault="004B2863" w:rsidP="004B2863">
      <w:pPr>
        <w:jc w:val="both"/>
        <w:rPr>
          <w:iCs/>
        </w:rPr>
      </w:pPr>
    </w:p>
    <w:p w14:paraId="7B74770C" w14:textId="77777777" w:rsidR="00ED58CD" w:rsidRPr="00ED58CD" w:rsidRDefault="00ED58CD" w:rsidP="00ED58CD">
      <w:pPr>
        <w:rPr>
          <w:b/>
          <w:bCs/>
        </w:rPr>
      </w:pPr>
      <w:r w:rsidRPr="00ED58CD">
        <w:rPr>
          <w:b/>
          <w:bCs/>
        </w:rPr>
        <w:t>Proposal 2: SIB4 be enhanced by geographic tags, with each tag corresponding to a set of (leg</w:t>
      </w:r>
      <w:r>
        <w:rPr>
          <w:b/>
          <w:bCs/>
        </w:rPr>
        <w:t>a</w:t>
      </w:r>
      <w:r w:rsidRPr="00ED58CD">
        <w:rPr>
          <w:b/>
          <w:bCs/>
        </w:rPr>
        <w:t>cy) cell reselection information.</w:t>
      </w:r>
    </w:p>
    <w:p w14:paraId="44FB56FD" w14:textId="77777777" w:rsidR="00946850" w:rsidRPr="00946850" w:rsidRDefault="00946850" w:rsidP="0032134A">
      <w:pPr>
        <w:overflowPunct w:val="0"/>
        <w:autoSpaceDE w:val="0"/>
        <w:autoSpaceDN w:val="0"/>
        <w:adjustRightInd w:val="0"/>
        <w:spacing w:before="100" w:beforeAutospacing="1" w:after="120"/>
        <w:ind w:left="562"/>
        <w:jc w:val="both"/>
        <w:textAlignment w:val="baseline"/>
        <w:rPr>
          <w:bCs/>
        </w:rPr>
      </w:pPr>
    </w:p>
    <w:sectPr w:rsidR="00946850" w:rsidRPr="00946850"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1A40" w14:textId="77777777" w:rsidR="008965DC" w:rsidRDefault="008965DC">
      <w:r>
        <w:separator/>
      </w:r>
    </w:p>
  </w:endnote>
  <w:endnote w:type="continuationSeparator" w:id="0">
    <w:p w14:paraId="55885594" w14:textId="77777777" w:rsidR="008965DC" w:rsidRDefault="008965DC">
      <w:r>
        <w:continuationSeparator/>
      </w:r>
    </w:p>
  </w:endnote>
  <w:endnote w:type="continuationNotice" w:id="1">
    <w:p w14:paraId="6570DFEF" w14:textId="77777777" w:rsidR="008965DC" w:rsidRDefault="00896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8D49A" w14:textId="77777777" w:rsidR="008965DC" w:rsidRDefault="008965DC">
      <w:r>
        <w:separator/>
      </w:r>
    </w:p>
  </w:footnote>
  <w:footnote w:type="continuationSeparator" w:id="0">
    <w:p w14:paraId="6A23407A" w14:textId="77777777" w:rsidR="008965DC" w:rsidRDefault="008965DC">
      <w:r>
        <w:continuationSeparator/>
      </w:r>
    </w:p>
  </w:footnote>
  <w:footnote w:type="continuationNotice" w:id="1">
    <w:p w14:paraId="3571B5FC" w14:textId="77777777" w:rsidR="008965DC" w:rsidRDefault="008965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611C5E"/>
    <w:multiLevelType w:val="hybridMultilevel"/>
    <w:tmpl w:val="C62E5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A200B"/>
    <w:multiLevelType w:val="hybridMultilevel"/>
    <w:tmpl w:val="07B61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4"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DE5770"/>
    <w:multiLevelType w:val="hybridMultilevel"/>
    <w:tmpl w:val="F40ABC52"/>
    <w:lvl w:ilvl="0" w:tplc="C9C88D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6"/>
  </w:num>
  <w:num w:numId="4">
    <w:abstractNumId w:val="18"/>
  </w:num>
  <w:num w:numId="5">
    <w:abstractNumId w:val="11"/>
  </w:num>
  <w:num w:numId="6">
    <w:abstractNumId w:val="22"/>
  </w:num>
  <w:num w:numId="7">
    <w:abstractNumId w:val="29"/>
  </w:num>
  <w:num w:numId="8">
    <w:abstractNumId w:val="12"/>
  </w:num>
  <w:num w:numId="9">
    <w:abstractNumId w:val="26"/>
  </w:num>
  <w:num w:numId="10">
    <w:abstractNumId w:val="1"/>
  </w:num>
  <w:num w:numId="11">
    <w:abstractNumId w:val="31"/>
  </w:num>
  <w:num w:numId="12">
    <w:abstractNumId w:val="4"/>
  </w:num>
  <w:num w:numId="13">
    <w:abstractNumId w:val="28"/>
  </w:num>
  <w:num w:numId="14">
    <w:abstractNumId w:val="20"/>
  </w:num>
  <w:num w:numId="15">
    <w:abstractNumId w:val="36"/>
  </w:num>
  <w:num w:numId="16">
    <w:abstractNumId w:val="41"/>
  </w:num>
  <w:num w:numId="17">
    <w:abstractNumId w:val="10"/>
  </w:num>
  <w:num w:numId="18">
    <w:abstractNumId w:val="30"/>
  </w:num>
  <w:num w:numId="19">
    <w:abstractNumId w:val="13"/>
  </w:num>
  <w:num w:numId="20">
    <w:abstractNumId w:val="9"/>
  </w:num>
  <w:num w:numId="21">
    <w:abstractNumId w:val="27"/>
  </w:num>
  <w:num w:numId="22">
    <w:abstractNumId w:val="5"/>
  </w:num>
  <w:num w:numId="23">
    <w:abstractNumId w:val="24"/>
  </w:num>
  <w:num w:numId="24">
    <w:abstractNumId w:val="34"/>
  </w:num>
  <w:num w:numId="25">
    <w:abstractNumId w:val="39"/>
  </w:num>
  <w:num w:numId="26">
    <w:abstractNumId w:val="23"/>
  </w:num>
  <w:num w:numId="27">
    <w:abstractNumId w:val="17"/>
  </w:num>
  <w:num w:numId="28">
    <w:abstractNumId w:val="8"/>
  </w:num>
  <w:num w:numId="29">
    <w:abstractNumId w:val="38"/>
  </w:num>
  <w:num w:numId="30">
    <w:abstractNumId w:val="6"/>
  </w:num>
  <w:num w:numId="31">
    <w:abstractNumId w:val="33"/>
  </w:num>
  <w:num w:numId="32">
    <w:abstractNumId w:val="32"/>
  </w:num>
  <w:num w:numId="33">
    <w:abstractNumId w:val="7"/>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5"/>
  </w:num>
  <w:num w:numId="37">
    <w:abstractNumId w:val="15"/>
  </w:num>
  <w:num w:numId="38">
    <w:abstractNumId w:val="37"/>
  </w:num>
  <w:num w:numId="39">
    <w:abstractNumId w:val="21"/>
  </w:num>
  <w:num w:numId="40">
    <w:abstractNumId w:val="19"/>
  </w:num>
  <w:num w:numId="41">
    <w:abstractNumId w:val="40"/>
  </w:num>
  <w:num w:numId="42">
    <w:abstractNumId w:val="14"/>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BD7"/>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7FD"/>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7D1"/>
    <w:rsid w:val="000527D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500"/>
    <w:rsid w:val="001526E0"/>
    <w:rsid w:val="00152CE1"/>
    <w:rsid w:val="00153A1F"/>
    <w:rsid w:val="00153A3C"/>
    <w:rsid w:val="00153EC7"/>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BAC"/>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DED"/>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57D4C"/>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6E40"/>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34A"/>
    <w:rsid w:val="00321C47"/>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2E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5C54"/>
    <w:rsid w:val="0034625E"/>
    <w:rsid w:val="00346574"/>
    <w:rsid w:val="0034690A"/>
    <w:rsid w:val="00346AA0"/>
    <w:rsid w:val="00346DB5"/>
    <w:rsid w:val="003473CE"/>
    <w:rsid w:val="003477B1"/>
    <w:rsid w:val="0034788B"/>
    <w:rsid w:val="00350345"/>
    <w:rsid w:val="00351164"/>
    <w:rsid w:val="0035159F"/>
    <w:rsid w:val="00351782"/>
    <w:rsid w:val="00351FA7"/>
    <w:rsid w:val="00352481"/>
    <w:rsid w:val="00352D87"/>
    <w:rsid w:val="0035342D"/>
    <w:rsid w:val="00353A0A"/>
    <w:rsid w:val="00353C93"/>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0FE4"/>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AF"/>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0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6C1"/>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43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9D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817"/>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2D4"/>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4F0"/>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4CCB"/>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75D"/>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0EE"/>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904"/>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5E71"/>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57A"/>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F2"/>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D1D"/>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1BD"/>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7B6"/>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9DE"/>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682"/>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BAA"/>
    <w:rsid w:val="00852C9F"/>
    <w:rsid w:val="00853A9D"/>
    <w:rsid w:val="00854A60"/>
    <w:rsid w:val="00855B06"/>
    <w:rsid w:val="0085626F"/>
    <w:rsid w:val="00856911"/>
    <w:rsid w:val="00856917"/>
    <w:rsid w:val="00856B1D"/>
    <w:rsid w:val="00856BA4"/>
    <w:rsid w:val="0085784A"/>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F65"/>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5DC"/>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0EBF"/>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2DF"/>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086"/>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850"/>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3E68"/>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1E0F"/>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9B1"/>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5D11"/>
    <w:rsid w:val="00AB61E3"/>
    <w:rsid w:val="00AB655E"/>
    <w:rsid w:val="00AB773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208"/>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6E12"/>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CCD"/>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5CC"/>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46A"/>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4DB"/>
    <w:rsid w:val="00D165B8"/>
    <w:rsid w:val="00D16AFE"/>
    <w:rsid w:val="00D17CE4"/>
    <w:rsid w:val="00D2006E"/>
    <w:rsid w:val="00D21672"/>
    <w:rsid w:val="00D220E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7D4"/>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3C77"/>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F5D"/>
    <w:rsid w:val="00E3003E"/>
    <w:rsid w:val="00E30692"/>
    <w:rsid w:val="00E30B5A"/>
    <w:rsid w:val="00E31115"/>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0D90"/>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E3F"/>
    <w:rsid w:val="00E96F75"/>
    <w:rsid w:val="00E973BC"/>
    <w:rsid w:val="00E97F7A"/>
    <w:rsid w:val="00EA06ED"/>
    <w:rsid w:val="00EA0934"/>
    <w:rsid w:val="00EA17BD"/>
    <w:rsid w:val="00EA1A85"/>
    <w:rsid w:val="00EA1AA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0A2"/>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8CD"/>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279DB"/>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43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0A"/>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885F65"/>
    <w:pPr>
      <w:numPr>
        <w:numId w:val="38"/>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80117153">
      <w:bodyDiv w:val="1"/>
      <w:marLeft w:val="0"/>
      <w:marRight w:val="0"/>
      <w:marTop w:val="0"/>
      <w:marBottom w:val="0"/>
      <w:divBdr>
        <w:top w:val="none" w:sz="0" w:space="0" w:color="auto"/>
        <w:left w:val="none" w:sz="0" w:space="0" w:color="auto"/>
        <w:bottom w:val="none" w:sz="0" w:space="0" w:color="auto"/>
        <w:right w:val="none" w:sz="0" w:space="0" w:color="auto"/>
      </w:divBdr>
      <w:divsChild>
        <w:div w:id="1087264254">
          <w:marLeft w:val="0"/>
          <w:marRight w:val="0"/>
          <w:marTop w:val="0"/>
          <w:marBottom w:val="0"/>
          <w:divBdr>
            <w:top w:val="none" w:sz="0" w:space="0" w:color="auto"/>
            <w:left w:val="none" w:sz="0" w:space="0" w:color="auto"/>
            <w:bottom w:val="none" w:sz="0" w:space="0" w:color="auto"/>
            <w:right w:val="none" w:sz="0" w:space="0" w:color="auto"/>
          </w:divBdr>
          <w:divsChild>
            <w:div w:id="1448307698">
              <w:marLeft w:val="0"/>
              <w:marRight w:val="0"/>
              <w:marTop w:val="0"/>
              <w:marBottom w:val="0"/>
              <w:divBdr>
                <w:top w:val="none" w:sz="0" w:space="0" w:color="auto"/>
                <w:left w:val="none" w:sz="0" w:space="0" w:color="auto"/>
                <w:bottom w:val="none" w:sz="0" w:space="0" w:color="auto"/>
                <w:right w:val="none" w:sz="0" w:space="0" w:color="auto"/>
              </w:divBdr>
              <w:divsChild>
                <w:div w:id="683555613">
                  <w:marLeft w:val="0"/>
                  <w:marRight w:val="0"/>
                  <w:marTop w:val="0"/>
                  <w:marBottom w:val="0"/>
                  <w:divBdr>
                    <w:top w:val="none" w:sz="0" w:space="0" w:color="auto"/>
                    <w:left w:val="none" w:sz="0" w:space="0" w:color="auto"/>
                    <w:bottom w:val="none" w:sz="0" w:space="0" w:color="auto"/>
                    <w:right w:val="none" w:sz="0" w:space="0" w:color="auto"/>
                  </w:divBdr>
                  <w:divsChild>
                    <w:div w:id="6919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2022-01-11T00:12:00Z</dcterms:created>
  <dcterms:modified xsi:type="dcterms:W3CDTF">2022-01-11T00:40:00Z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